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Regulatory Correspondence Log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Project: nextjs-saas-example</w:t>
      </w:r>
    </w:p>
    <w:p>
      <w:r>
        <w:t xml:space="preserve">Last updated: 2026-03-19</w:t>
      </w:r>
    </w:p>
    <w:p>
      <w:r>
        <w:t xml:space="preserve">Maintained by: Jane Mueller (dpo@acme-saas.com)</w:t>
      </w:r>
    </w:p>
    <w:p>
      <w:pPr>
        <w:pBdr>
          <w:bottom w:val="single" w:sz="6" w:space="1" w:color="999999"/>
        </w:pBdr>
      </w:pPr>
    </w:p>
    <w:p>
      <w:r>
        <w:t xml:space="preserve">This document tracks all communications with regulatory authorities, including inquiries, complaints, audits, notifications, and follow-up actions. Maintaining a complete correspondence log is a GDPR accountability requirement (Art. 5(2)) and demonstrates good-faith compliance to supervisory authorities.</w:t>
      </w:r>
    </w:p>
    <w:p>
      <w:pPr>
        <w:ind w:left="720"/>
      </w:pPr>
      <w:r>
        <w:rPr>
          <w:i/>
          <w:color w:val="666666"/>
        </w:rPr>
        <w:t xml:space="preserve">**Retention:** Keep all correspondence records for a minimum of 6 years from the date of last communication. Store securely with restricted access.</w:t>
      </w:r>
    </w:p>
    <w:p>
      <w:pPr>
        <w:pStyle w:val="Heading2"/>
      </w:pPr>
      <w:r>
        <w:t>1. Correspondence Register</w:t>
      </w:r>
    </w:p>
    <w:p>
      <w:r>
        <w:t xml:space="preserve">Record every inbound and outbound communication with any regulatory authority.</w:t>
      </w:r>
    </w:p>
    <w:p>
      <w:r>
        <w:rPr>
          <w:sz w:val="20"/>
        </w:rPr>
        <w:t xml:space="preserve">#  |  Date  |  Direction  |  Authority  |  Contact Person  |  Topic  |  Reference No.  |  Outcome  |  Follow-Up Required  |  Follow-Up Deadline  |  Status</w:t>
      </w:r>
    </w:p>
    <w:p>
      <w:r>
        <w:rPr>
          <w:sz w:val="20"/>
        </w:rPr>
        <w:t xml:space="preserve">1  |  [DATE]  |  Inbound/Outbound  |  [AUTHORITY NAME]  |  [NAME/DEPT]  |  [BRIEF TOPIC]  |  [REF#]  |  [OUTCOME SUMMARY]  |  [YES/NO]  |  [DATE]  |  Open/Closed</w:t>
      </w:r>
    </w:p>
    <w:p>
      <w:r>
        <w:rPr>
          <w:sz w:val="20"/>
        </w:rPr>
        <w:t xml:space="preserve">2  |  [DATE]  |  Inbound/Outbound  |  [AUTHORITY NAME]  |  [NAME/DEPT]  |  [BRIEF TOPIC]  |  [REF#]  |  [OUTCOME SUMMARY]  |  [YES/NO]  |  [DATE]  |  Open/Closed</w:t>
      </w:r>
    </w:p>
    <w:p>
      <w:r>
        <w:rPr>
          <w:sz w:val="20"/>
        </w:rPr>
        <w:t xml:space="preserve">3  |  [DATE]  |  Inbound/Outbound  |  [AUTHORITY NAME]  |  [NAME/DEPT]  |  [BRIEF TOPIC]  |  [REF#]  |  [OUTCOME SUMMARY]  |  [YES/NO]  |  [DATE]  |  Open/Closed</w:t>
      </w:r>
    </w:p>
    <w:p>
      <w:pPr>
        <w:pStyle w:val="Heading2"/>
      </w:pPr>
      <w:r>
        <w:t>2. Communication Categories</w:t>
      </w:r>
    </w:p>
    <w:p>
      <w:r>
        <w:rPr>
          <w:sz w:val="20"/>
        </w:rPr>
        <w:t xml:space="preserve">Category  |  Description  |  Typical Deadline</w:t>
      </w:r>
    </w:p>
    <w:p>
      <w:r>
        <w:rPr>
          <w:sz w:val="20"/>
        </w:rPr>
        <w:t xml:space="preserve">**Data Breach Notification**  |  Mandatory notification under GDPR Art. 33 / state breach laws  |  72 hours (GDPR), varies by state</w:t>
      </w:r>
    </w:p>
    <w:p>
      <w:r>
        <w:rPr>
          <w:sz w:val="20"/>
        </w:rPr>
        <w:t xml:space="preserve">**DSAR Escalation**  |  Regulator inquiry following unresolved data subject request  |  30 days from regulator inquiry</w:t>
      </w:r>
    </w:p>
    <w:p>
      <w:r>
        <w:rPr>
          <w:sz w:val="20"/>
        </w:rPr>
        <w:t xml:space="preserve">**Complaint Investigation**  |  Formal investigation following a data subject complaint  |  Per authority timeline</w:t>
      </w:r>
    </w:p>
    <w:p>
      <w:r>
        <w:rPr>
          <w:sz w:val="20"/>
        </w:rPr>
        <w:t xml:space="preserve">**Audit / Inspection**  |  Planned or unplanned regulatory audit  |  Per audit schedule</w:t>
      </w:r>
    </w:p>
    <w:p>
      <w:r>
        <w:rPr>
          <w:sz w:val="20"/>
        </w:rPr>
        <w:t xml:space="preserve">**Proactive Consultation**  |  DPIA consultation (GDPR Art. 36) or voluntary disclosure  |  8 weeks (GDPR Art. 36(2))</w:t>
      </w:r>
    </w:p>
    <w:p>
      <w:r>
        <w:rPr>
          <w:sz w:val="20"/>
        </w:rPr>
        <w:t xml:space="preserve">**Annual Filing**  |  Required annual reports or registrations  |  Per jurisdiction</w:t>
      </w:r>
    </w:p>
    <w:p>
      <w:r>
        <w:rPr>
          <w:sz w:val="20"/>
        </w:rPr>
        <w:t xml:space="preserve">**Cross-Border Transfer**  |  Transfer mechanism notifications or approvals  |  Per mechanism</w:t>
      </w:r>
    </w:p>
    <w:p>
      <w:r>
        <w:rPr>
          <w:sz w:val="20"/>
        </w:rPr>
        <w:t xml:space="preserve">**AI Incident Report**  |  EU AI Act mandatory serious incident reports  |  15 days (EU AI Act Art. 62)</w:t>
      </w:r>
    </w:p>
    <w:p>
      <w:pPr>
        <w:pStyle w:val="Heading2"/>
      </w:pPr>
      <w:r>
        <w:t>3. Relevant Regulatory Authorities</w:t>
      </w:r>
    </w:p>
    <w:p>
      <w:r>
        <w:t xml:space="preserve">Authorities relevant to this project based on detected jurisdictions and services:</w:t>
      </w:r>
    </w:p>
    <w:p>
      <w:r>
        <w:rPr>
          <w:sz w:val="20"/>
        </w:rPr>
        <w:t xml:space="preserve">Authority  |  Jurisdiction  |  Area  |  Contact  |  Notes</w:t>
      </w:r>
    </w:p>
    <w:p>
      <w:r>
        <w:rPr>
          <w:sz w:val="20"/>
        </w:rPr>
        <w:t xml:space="preserve">**PCI SSC**  |  International  |  Payment card data  |  pcisecuritystandards.org  |  PCI DSS compliance</w:t>
      </w:r>
    </w:p>
    <w:p>
      <w:r>
        <w:rPr>
          <w:sz w:val="20"/>
        </w:rPr>
        <w:t xml:space="preserve">**AI Office**  |  EU  |  EU AI Act  |  [TBD]  |  AI system compliance, market surveillance</w:t>
      </w:r>
    </w:p>
    <w:p>
      <w:r>
        <w:rPr>
          <w:sz w:val="20"/>
        </w:rPr>
        <w:t xml:space="preserve">[ADD AUTHORITY]  |  [JURISDICTION]  |  [AREA]  |  [CONTACT]  |  [NOTES]</w:t>
      </w:r>
    </w:p>
    <w:p>
      <w:pPr>
        <w:pStyle w:val="Heading2"/>
      </w:pPr>
      <w:r>
        <w:t>4. Breach Notification Tracking</w:t>
      </w:r>
    </w:p>
    <w:p>
      <w:r>
        <w:t xml:space="preserve">Track all data breach notifications separately for quick reference and deadline compliance.</w:t>
      </w:r>
    </w:p>
    <w:p>
      <w:r>
        <w:rPr>
          <w:sz w:val="20"/>
        </w:rPr>
        <w:t xml:space="preserve">Incident ID  |  Discovery Date  |  Authority Notified  |  Notification Date  |  Within 72h?  |  Individuals Notified  |  Individuals Notification Date  |  Case Ref  |  Status</w:t>
      </w:r>
    </w:p>
    <w:p>
      <w:r>
        <w:rPr>
          <w:sz w:val="20"/>
        </w:rPr>
        <w:t xml:space="preserve">[INC-001]  |  [DATE]  |  [AUTHORITY]  |  [DATE]  |  [YES/NO]  |  [YES/NO/NA]  |  [DATE/NA]  |  [REF#]  |  [STATUS]</w:t>
      </w:r>
    </w:p>
    <w:p>
      <w:pPr>
        <w:pStyle w:val="Heading2"/>
      </w:pPr>
      <w:r>
        <w:t>5. Audit and Inspection Log</w:t>
      </w:r>
    </w:p>
    <w:p>
      <w:r>
        <w:rPr>
          <w:sz w:val="20"/>
        </w:rPr>
        <w:t xml:space="preserve">Audit Date  |  Authority  |  Type  |  Scope  |  Findings  |  Remediation Deadline  |  Remediation Status  |  Closed Date</w:t>
      </w:r>
    </w:p>
    <w:p>
      <w:r>
        <w:rPr>
          <w:sz w:val="20"/>
        </w:rPr>
        <w:t xml:space="preserve">[DATE]  |  [AUTHORITY]  |  On-site/Remote/Document  |  [SCOPE]  |  [SUMMARY]  |  [DATE]  |  [STATUS]  |  [DATE]</w:t>
      </w:r>
    </w:p>
    <w:p>
      <w:pPr>
        <w:pStyle w:val="Heading2"/>
      </w:pPr>
      <w:r>
        <w:t>6. Open Follow-Up Actions</w:t>
      </w:r>
    </w:p>
    <w:p>
      <w:r>
        <w:rPr>
          <w:sz w:val="20"/>
        </w:rPr>
        <w:t xml:space="preserve">#  |  Related Correspondence  |  Action Required  |  Owner  |  Deadline  |  Priority  |  Status</w:t>
      </w:r>
    </w:p>
    <w:p>
      <w:r>
        <w:rPr>
          <w:sz w:val="20"/>
        </w:rPr>
        <w:t xml:space="preserve">1  |  [CORRESPONDENCE #]  |  [ACTION DESCRIPTION]  |  [NAME]  |  [DATE]  |  High/Medium/Low  |  Open/In Progress/Closed</w:t>
      </w:r>
    </w:p>
    <w:p>
      <w:r>
        <w:rPr>
          <w:sz w:val="20"/>
        </w:rPr>
        <w:t xml:space="preserve">2  |  [CORRESPONDENCE #]  |  [ACTION DESCRIPTION]  |  [NAME]  |  [DATE]  |  High/Medium/Low  |  Open/In Progress/Closed</w:t>
      </w:r>
    </w:p>
    <w:p>
      <w:pPr>
        <w:pStyle w:val="Heading2"/>
      </w:pPr>
      <w:r>
        <w:t>7. Escalation Procedures</w:t>
      </w:r>
    </w:p>
    <w:p>
      <w:pPr>
        <w:pStyle w:val="Heading3"/>
      </w:pPr>
      <w:r>
        <w:t>7.1 Inbound Communication</w:t>
      </w:r>
    </w:p>
    <w:p>
      <w:pPr>
        <w:pStyle w:val="ListParagraph"/>
        <w:numPr>
          <w:ilvl w:val="0"/>
          <w:numId w:val="2"/>
        </w:numPr>
      </w:pPr>
      <w:r>
        <w:t xml:space="preserve">**Receipt:** All inbound regulatory communications must be forwarded to the DPO within 4 hours</w:t>
      </w:r>
    </w:p>
    <w:p>
      <w:pPr>
        <w:pStyle w:val="ListParagraph"/>
        <w:numPr>
          <w:ilvl w:val="0"/>
          <w:numId w:val="2"/>
        </w:numPr>
      </w:pPr>
      <w:r>
        <w:t xml:space="preserve">**Logging:** DPO logs the communication in Section 1 within 24 hours</w:t>
      </w:r>
    </w:p>
    <w:p>
      <w:pPr>
        <w:pStyle w:val="ListParagraph"/>
        <w:numPr>
          <w:ilvl w:val="0"/>
          <w:numId w:val="2"/>
        </w:numPr>
      </w:pPr>
      <w:r>
        <w:t xml:space="preserve">**Triage:** DPO assesses urgency and assigns priority</w:t>
      </w:r>
    </w:p>
    <w:p>
      <w:pPr>
        <w:pStyle w:val="ListParagraph"/>
        <w:numPr>
          <w:ilvl w:val="0"/>
          <w:numId w:val="2"/>
        </w:numPr>
      </w:pPr>
      <w:r>
        <w:t xml:space="preserve">**Escalation:** High-priority matters escalated to Legal Counsel and Executive Sponsor within 24 hours</w:t>
      </w:r>
    </w:p>
    <w:p>
      <w:pPr>
        <w:pStyle w:val="ListParagraph"/>
        <w:numPr>
          <w:ilvl w:val="0"/>
          <w:numId w:val="2"/>
        </w:numPr>
      </w:pPr>
      <w:r>
        <w:t xml:space="preserve">**Response:** Draft response within the regulatory deadline (default: 30 days unless otherwise specified)</w:t>
      </w:r>
    </w:p>
    <w:p>
      <w:pPr>
        <w:pStyle w:val="ListParagraph"/>
        <w:numPr>
          <w:ilvl w:val="0"/>
          <w:numId w:val="2"/>
        </w:numPr>
      </w:pPr>
      <w:r>
        <w:t xml:space="preserve">**Review:** Legal Counsel reviews all outbound responses before sending</w:t>
      </w:r>
    </w:p>
    <w:p>
      <w:pPr>
        <w:pStyle w:val="ListParagraph"/>
        <w:numPr>
          <w:ilvl w:val="0"/>
          <w:numId w:val="2"/>
        </w:numPr>
      </w:pPr>
      <w:r>
        <w:t xml:space="preserve">**Follow-up:** DPO tracks any required follow-up actions in Section 6</w:t>
      </w:r>
    </w:p>
    <w:p>
      <w:pPr>
        <w:pStyle w:val="Heading3"/>
      </w:pPr>
      <w:r>
        <w:t>7.2 Proactive Notifications</w:t>
      </w:r>
    </w:p>
    <w:p>
      <w:pPr>
        <w:pStyle w:val="ListParagraph"/>
        <w:numPr>
          <w:ilvl w:val="0"/>
          <w:numId w:val="2"/>
        </w:numPr>
      </w:pPr>
      <w:r>
        <w:t xml:space="preserve">**Assessment:** DPO determines notification obligation (breach, DPIA consultation, etc.)</w:t>
      </w:r>
    </w:p>
    <w:p>
      <w:pPr>
        <w:pStyle w:val="ListParagraph"/>
        <w:numPr>
          <w:ilvl w:val="0"/>
          <w:numId w:val="2"/>
        </w:numPr>
      </w:pPr>
      <w:r>
        <w:t xml:space="preserve">**Drafting:** DPO prepares notification using approved templates</w:t>
      </w:r>
    </w:p>
    <w:p>
      <w:pPr>
        <w:pStyle w:val="ListParagraph"/>
        <w:numPr>
          <w:ilvl w:val="0"/>
          <w:numId w:val="2"/>
        </w:numPr>
      </w:pPr>
      <w:r>
        <w:t xml:space="preserve">**Approval:** Legal Counsel and Executive Sponsor approve</w:t>
      </w:r>
    </w:p>
    <w:p>
      <w:pPr>
        <w:pStyle w:val="ListParagraph"/>
        <w:numPr>
          <w:ilvl w:val="0"/>
          <w:numId w:val="2"/>
        </w:numPr>
      </w:pPr>
      <w:r>
        <w:t xml:space="preserve">**Submission:** DPO submits via authority's official channel</w:t>
      </w:r>
    </w:p>
    <w:p>
      <w:pPr>
        <w:pStyle w:val="ListParagraph"/>
        <w:numPr>
          <w:ilvl w:val="0"/>
          <w:numId w:val="2"/>
        </w:numPr>
      </w:pPr>
      <w:r>
        <w:t xml:space="preserve">**Logging:** Record in Sections 1 and 4 (if breach-related)</w:t>
      </w:r>
    </w:p>
    <w:p>
      <w:pPr>
        <w:pStyle w:val="Heading2"/>
      </w:pPr>
      <w:r>
        <w:t>8. Annual Summary</w:t>
      </w:r>
    </w:p>
    <w:p>
      <w:r>
        <w:t xml:space="preserve">Complete at year-end for the Annual Review Checklist and board reporting.</w:t>
      </w:r>
    </w:p>
    <w:p>
      <w:r>
        <w:rPr>
          <w:sz w:val="20"/>
        </w:rPr>
        <w:t xml:space="preserve">Metric  |  Count</w:t>
      </w:r>
    </w:p>
    <w:p>
      <w:r>
        <w:rPr>
          <w:sz w:val="20"/>
        </w:rPr>
        <w:t xml:space="preserve">Total regulatory communications  |  [N]</w:t>
      </w:r>
    </w:p>
    <w:p>
      <w:r>
        <w:rPr>
          <w:sz w:val="20"/>
        </w:rPr>
        <w:t xml:space="preserve">Inbound inquiries/complaints  |  [N]</w:t>
      </w:r>
    </w:p>
    <w:p>
      <w:r>
        <w:rPr>
          <w:sz w:val="20"/>
        </w:rPr>
        <w:t xml:space="preserve">Breach notifications filed  |  [N]</w:t>
      </w:r>
    </w:p>
    <w:p>
      <w:r>
        <w:rPr>
          <w:sz w:val="20"/>
        </w:rPr>
        <w:t xml:space="preserve">Audits/inspections completed  |  [N]</w:t>
      </w:r>
    </w:p>
    <w:p>
      <w:r>
        <w:rPr>
          <w:sz w:val="20"/>
        </w:rPr>
        <w:t xml:space="preserve">Open follow-up actions  |  [N]</w:t>
      </w:r>
    </w:p>
    <w:p>
      <w:r>
        <w:rPr>
          <w:sz w:val="20"/>
        </w:rPr>
        <w:t xml:space="preserve">Average response time (days)  |  [N]</w:t>
      </w:r>
    </w:p>
    <w:p>
      <w:r>
        <w:rPr>
          <w:sz w:val="20"/>
        </w:rPr>
        <w:t xml:space="preserve">Escalations to executive team  |  [N]</w:t>
      </w:r>
    </w:p>
    <w:p>
      <w:pPr>
        <w:pStyle w:val="Heading2"/>
      </w:pPr>
      <w:r>
        <w:t>9. Contact</w:t>
      </w:r>
    </w:p>
    <w:p>
      <w:r>
        <w:rPr>
          <w:sz w:val="20"/>
        </w:rPr>
        <w:t xml:space="preserve">Role  |  Name  |  Email</w:t>
      </w:r>
    </w:p>
    <w:p>
      <w:r>
        <w:rPr>
          <w:sz w:val="20"/>
        </w:rPr>
        <w:t xml:space="preserve">Data Protection Officer  |  Jane Mueller  |  dpo@acme-saas.com</w:t>
      </w:r>
    </w:p>
    <w:p>
      <w:r>
        <w:rPr>
          <w:sz w:val="20"/>
        </w:rPr>
        <w:t xml:space="preserve">General Inquiries  |  —  |  legal@acme.com</w:t>
      </w:r>
    </w:p>
    <w:p>
      <w:r>
        <w:rPr>
          <w:sz w:val="20"/>
        </w:rPr>
        <w:t xml:space="preserve">Legal Counsel  |  [NAME]  |  [EMAIL]</w:t>
      </w:r>
    </w:p>
    <w:p>
      <w:r>
        <w:rPr>
          <w:sz w:val="20"/>
        </w:rPr>
        <w:t xml:space="preserve">Executive Sponsor  |  [NAME]  |  [EMAIL]</w:t>
      </w:r>
    </w:p>
    <w:p>
      <w:pPr>
        <w:pBdr>
          <w:bottom w:val="single" w:sz="6" w:space="1" w:color="999999"/>
        </w:pBdr>
      </w:pPr>
    </w:p>
    <w:p>
      <w:r>
        <w:t xml:space="preserve">This Regulatory Correspondence Log was generated by [Codepliant](https://github.com/joechensmartz/codepliant) based on an automated scan of the nextjs-saas-example codebase. This template should be reviewed and customized by your legal and compliance teams.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